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B505D" w:rsidP="000B1265" w:rsidRDefault="000B1265" w14:paraId="48AE8A2E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TERMO DE SOLICITAÇÃO DE DESCONTOS PARA IRRIGANTES E AQUICULTORES</w:t>
      </w:r>
    </w:p>
    <w:p w:rsidR="000B1265" w:rsidP="000B1265" w:rsidRDefault="000B1265" w14:paraId="48AE8A2F" w14:textId="77777777">
      <w:pPr>
        <w:jc w:val="center"/>
        <w:rPr>
          <w:b/>
          <w:bCs/>
          <w:sz w:val="28"/>
          <w:szCs w:val="28"/>
        </w:rPr>
      </w:pPr>
    </w:p>
    <w:tbl>
      <w:tblPr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4856"/>
      </w:tblGrid>
      <w:tr w:rsidRPr="000B1265" w:rsidR="000B1265" w:rsidTr="000B1265" w14:paraId="48AE8A31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Pr="000B1265" w:rsidR="000B1265" w:rsidP="000B1265" w:rsidRDefault="000B1265" w14:paraId="48AE8A3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Nome Completo do Consumidor:</w:t>
            </w:r>
          </w:p>
        </w:tc>
      </w:tr>
      <w:tr w:rsidRPr="000B1265" w:rsidR="000B1265" w:rsidTr="000B1265" w14:paraId="48AE8A35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48AE8A3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CPF/CNPJ:</w:t>
            </w:r>
          </w:p>
          <w:p w:rsidRPr="000B1265" w:rsidR="000B1265" w:rsidP="000B1265" w:rsidRDefault="000B1265" w14:paraId="48AE8A3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48AE8A3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RG/Inscrição Estadual:</w:t>
            </w:r>
          </w:p>
        </w:tc>
      </w:tr>
      <w:tr w:rsidRPr="000B1265" w:rsidR="000B1265" w:rsidTr="000B1265" w14:paraId="48AE8A38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="000B1265" w:rsidP="000B1265" w:rsidRDefault="000B1265" w14:paraId="48AE8A3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Endereço Completo da UC:</w:t>
            </w:r>
          </w:p>
          <w:p w:rsidRPr="000B1265" w:rsidR="000B1265" w:rsidP="000B1265" w:rsidRDefault="000B1265" w14:paraId="48AE8A3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</w:tr>
      <w:tr w:rsidRPr="000B1265" w:rsidR="000B1265" w:rsidTr="000B1265" w14:paraId="48AE8A3C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48AE8A3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Cidade:</w:t>
            </w:r>
          </w:p>
          <w:p w:rsidRPr="000B1265" w:rsidR="000B1265" w:rsidP="000B1265" w:rsidRDefault="000B1265" w14:paraId="48AE8A3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48AE8A3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Protocolo/UC</w:t>
            </w:r>
          </w:p>
        </w:tc>
      </w:tr>
    </w:tbl>
    <w:p w:rsidR="000B1265" w:rsidRDefault="000B1265" w14:paraId="48AE8A3D" w14:textId="77777777"/>
    <w:p w:rsidR="000B1265" w:rsidP="000B1265" w:rsidRDefault="000B1265" w14:paraId="48AE8A3E" w14:textId="22A15B1A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O consumidor acima identificado, pelo presente instrumento, formaliza junto à </w:t>
      </w:r>
      <w:r w:rsidRPr="000B1265">
        <w:rPr>
          <w:b/>
          <w:bCs/>
          <w:sz w:val="20"/>
          <w:szCs w:val="20"/>
        </w:rPr>
        <w:t>ENERGISA</w:t>
      </w:r>
      <w:r w:rsidR="009263F7">
        <w:rPr>
          <w:b/>
          <w:bCs/>
          <w:sz w:val="20"/>
          <w:szCs w:val="20"/>
        </w:rPr>
        <w:t xml:space="preserve"> MATO GROSSO</w:t>
      </w:r>
      <w:r w:rsidRPr="000B1265">
        <w:rPr>
          <w:b/>
          <w:bCs/>
          <w:sz w:val="20"/>
          <w:szCs w:val="20"/>
        </w:rPr>
        <w:t xml:space="preserve">, </w:t>
      </w:r>
      <w:r w:rsidRPr="000B1265">
        <w:rPr>
          <w:sz w:val="20"/>
          <w:szCs w:val="20"/>
        </w:rPr>
        <w:t xml:space="preserve">pessoa jurídica de direito privado, concessionária dos serviços públicos de energia elétrica do </w:t>
      </w:r>
      <w:r w:rsidR="004D4A7D">
        <w:rPr>
          <w:sz w:val="20"/>
          <w:szCs w:val="20"/>
        </w:rPr>
        <w:t>Estado do Mato Gross</w:t>
      </w:r>
      <w:r w:rsidR="00A21CB5">
        <w:rPr>
          <w:sz w:val="20"/>
          <w:szCs w:val="20"/>
        </w:rPr>
        <w:t>o</w:t>
      </w:r>
      <w:r w:rsidRPr="000B1265">
        <w:rPr>
          <w:sz w:val="20"/>
          <w:szCs w:val="20"/>
        </w:rPr>
        <w:t>, com sede</w:t>
      </w:r>
      <w:r w:rsidR="004D4A7D">
        <w:rPr>
          <w:sz w:val="20"/>
          <w:szCs w:val="20"/>
        </w:rPr>
        <w:t xml:space="preserve"> </w:t>
      </w:r>
      <w:r w:rsidRPr="00A21CB5" w:rsidR="004D4A7D">
        <w:rPr>
          <w:sz w:val="20"/>
          <w:szCs w:val="20"/>
        </w:rPr>
        <w:t>Rua Vereador João Barbosa Caramuru, nº 184, Bandeirantes, Cuiabá, MT, CEP 78.010 900</w:t>
      </w:r>
      <w:r w:rsidRPr="000B1265">
        <w:rPr>
          <w:sz w:val="20"/>
          <w:szCs w:val="20"/>
        </w:rPr>
        <w:t xml:space="preserve">, inscrita no CNPJ sob o n.º </w:t>
      </w:r>
      <w:r w:rsidRPr="00A21CB5" w:rsidR="001153F7">
        <w:rPr>
          <w:sz w:val="20"/>
          <w:szCs w:val="20"/>
        </w:rPr>
        <w:t>03.467.321/0001-99</w:t>
      </w:r>
      <w:r w:rsidRPr="000B1265">
        <w:rPr>
          <w:sz w:val="20"/>
          <w:szCs w:val="20"/>
        </w:rPr>
        <w:t xml:space="preserve">. </w:t>
      </w:r>
    </w:p>
    <w:p w:rsidRPr="000B1265" w:rsidR="000B1265" w:rsidP="000B1265" w:rsidRDefault="000B1265" w14:paraId="48AE8A3F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25648335" w:rsidRDefault="000B1265" w14:paraId="48AE8A40" w14:textId="1344ED0C">
      <w:pPr>
        <w:pStyle w:val="Default"/>
        <w:jc w:val="both"/>
        <w:rPr>
          <w:noProof w:val="0"/>
          <w:lang w:val="pt-BR"/>
        </w:rPr>
      </w:pPr>
      <w:r w:rsidRPr="25648335" w:rsidR="000B1265">
        <w:rPr>
          <w:b w:val="1"/>
          <w:bCs w:val="1"/>
          <w:sz w:val="20"/>
          <w:szCs w:val="20"/>
        </w:rPr>
        <w:t>Solicita o enquadramento para obtenção do desconto percentual concedido para o Consumo de Energia Elétrica (kWh) utilizado na atividade de Irrigação ou na atividade de Aquicultura</w:t>
      </w:r>
      <w:r w:rsidRPr="25648335" w:rsidR="000B1265">
        <w:rPr>
          <w:sz w:val="20"/>
          <w:szCs w:val="20"/>
        </w:rPr>
        <w:t xml:space="preserve">, regulamentado </w:t>
      </w:r>
      <w:r w:rsidRPr="25648335" w:rsidR="000B1265">
        <w:rPr>
          <w:sz w:val="20"/>
          <w:szCs w:val="20"/>
        </w:rPr>
        <w:t>pela Resolução nº</w:t>
      </w:r>
      <w:r w:rsidRPr="25648335" w:rsidR="000B1265">
        <w:rPr>
          <w:sz w:val="20"/>
          <w:szCs w:val="20"/>
        </w:rPr>
        <w:t xml:space="preserve"> </w:t>
      </w:r>
      <w:r w:rsidRPr="25648335" w:rsidR="4669E7C6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1.00</w:t>
      </w:r>
      <w:r w:rsidRPr="25648335" w:rsidR="4669E7C6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0 de </w:t>
      </w:r>
      <w:r w:rsidRPr="25648335" w:rsidR="4669E7C6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07</w:t>
      </w:r>
      <w:r w:rsidRPr="25648335" w:rsidR="4669E7C6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</w:t>
      </w:r>
      <w:r w:rsidRPr="25648335" w:rsidR="4669E7C6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dezembro</w:t>
      </w:r>
      <w:r w:rsidRPr="25648335" w:rsidR="4669E7C6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20</w:t>
      </w:r>
      <w:r w:rsidRPr="25648335" w:rsidR="4669E7C6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21</w:t>
      </w:r>
      <w:r w:rsidRPr="25648335" w:rsidR="000B1265">
        <w:rPr>
          <w:sz w:val="20"/>
          <w:szCs w:val="20"/>
        </w:rPr>
        <w:t xml:space="preserve"> da Agência Nacional de Energia Elétrica - ANEEL</w:t>
      </w:r>
      <w:r w:rsidRPr="25648335" w:rsidR="2FEE5211">
        <w:rPr>
          <w:sz w:val="20"/>
          <w:szCs w:val="20"/>
        </w:rPr>
        <w:t xml:space="preserve">, </w:t>
      </w:r>
      <w:r w:rsidRPr="25648335" w:rsidR="2FEE521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Lei </w:t>
      </w:r>
      <w:r w:rsidRPr="25648335" w:rsidR="2FEE521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n° </w:t>
      </w:r>
      <w:r w:rsidRPr="25648335" w:rsidR="2FEE521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10.438 de 26 de abril de 2022</w:t>
      </w:r>
      <w:r w:rsidRPr="25648335" w:rsidR="2FEE521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e os Decretos n° </w:t>
      </w:r>
      <w:r w:rsidRPr="25648335" w:rsidR="2FEE521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62.724 de 17 de maio de 1968 e 7.891 de 23 de janeiro de 2013.</w:t>
      </w:r>
    </w:p>
    <w:p w:rsidR="000B1265" w:rsidP="000B1265" w:rsidRDefault="000B1265" w14:paraId="48AE8A41" w14:textId="77777777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Para obtenção do referido desconto o consumidor declara estar ciente e de acordo com as seguintes condições: </w:t>
      </w:r>
    </w:p>
    <w:p w:rsidRPr="000B1265" w:rsidR="000B1265" w:rsidP="000B1265" w:rsidRDefault="000B1265" w14:paraId="48AE8A42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48AE8A43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1- </w:t>
      </w:r>
      <w:r w:rsidRPr="000B1265">
        <w:rPr>
          <w:sz w:val="20"/>
          <w:szCs w:val="20"/>
        </w:rPr>
        <w:t xml:space="preserve">A energia elétrica deverá ser utilizada para fim exclusivo de irrigação e aquicultura. Considerar-se-á como fornecimento exclusivo para fins de irrigação e aquicultura aquele no qual a carga instalada seja efetivamente utilizada da seguinte forma: </w:t>
      </w:r>
    </w:p>
    <w:p w:rsidRPr="000B1265" w:rsidR="000B1265" w:rsidP="000B1265" w:rsidRDefault="000B1265" w14:paraId="48AE8A44" w14:textId="77777777">
      <w:pPr>
        <w:pStyle w:val="Default"/>
        <w:jc w:val="both"/>
        <w:rPr>
          <w:sz w:val="20"/>
          <w:szCs w:val="20"/>
        </w:rPr>
      </w:pPr>
    </w:p>
    <w:p w:rsidR="000B1265" w:rsidP="000B1265" w:rsidRDefault="000B1265" w14:paraId="48AE8A45" w14:textId="77777777">
      <w:pPr>
        <w:pStyle w:val="Default"/>
        <w:spacing w:after="3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E8A5E" wp14:editId="48AE8A5F">
                <wp:simplePos x="0" y="0"/>
                <wp:positionH relativeFrom="column">
                  <wp:posOffset>96189</wp:posOffset>
                </wp:positionH>
                <wp:positionV relativeFrom="paragraph">
                  <wp:posOffset>40640</wp:posOffset>
                </wp:positionV>
                <wp:extent cx="214685" cy="151075"/>
                <wp:effectExtent l="0" t="0" r="13970" b="2095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style="position:absolute;margin-left:7.55pt;margin-top:3.2pt;width:16.9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F976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Irrigação: </w:t>
      </w:r>
      <w:r w:rsidRPr="000B1265">
        <w:rPr>
          <w:sz w:val="20"/>
          <w:szCs w:val="20"/>
        </w:rPr>
        <w:t xml:space="preserve">cargas específicas utilizadas no bombeamento para captação de água e adução, na injeção de fertilizantes na linha de irrigação, na aplicação da água no solo, mediante o uso de técnicas específicas e na iluminação dos locais de instalação desses equipamentos. </w:t>
      </w:r>
    </w:p>
    <w:p w:rsidRPr="000B1265" w:rsidR="000B1265" w:rsidP="000B1265" w:rsidRDefault="000B1265" w14:paraId="48AE8A46" w14:textId="77777777">
      <w:pPr>
        <w:pStyle w:val="Default"/>
        <w:spacing w:after="3"/>
        <w:ind w:left="708"/>
        <w:jc w:val="both"/>
        <w:rPr>
          <w:sz w:val="20"/>
          <w:szCs w:val="20"/>
        </w:rPr>
      </w:pPr>
    </w:p>
    <w:p w:rsidRPr="000B1265" w:rsidR="000B1265" w:rsidP="000B1265" w:rsidRDefault="000B1265" w14:paraId="48AE8A47" w14:textId="77777777">
      <w:pPr>
        <w:pStyle w:val="Default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E8A60" wp14:editId="48AE8A61">
                <wp:simplePos x="0" y="0"/>
                <wp:positionH relativeFrom="column">
                  <wp:posOffset>97155</wp:posOffset>
                </wp:positionH>
                <wp:positionV relativeFrom="paragraph">
                  <wp:posOffset>28575</wp:posOffset>
                </wp:positionV>
                <wp:extent cx="214630" cy="150495"/>
                <wp:effectExtent l="0" t="0" r="13970" b="2095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style="position:absolute;margin-left:7.65pt;margin-top:2.25pt;width:16.9pt;height:1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1B95D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Aquicultura: </w:t>
      </w:r>
      <w:r w:rsidRPr="000B1265">
        <w:rPr>
          <w:sz w:val="20"/>
          <w:szCs w:val="20"/>
        </w:rPr>
        <w:t xml:space="preserve">cargas específicas utilizadas no bombeamento para captação de água e dos tanques de criação, no berçário, na aeração e na iluminação nesses locais. </w:t>
      </w:r>
    </w:p>
    <w:p w:rsidRPr="000B1265" w:rsidR="000B1265" w:rsidP="000B1265" w:rsidRDefault="000B1265" w14:paraId="48AE8A48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48AE8A49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2- </w:t>
      </w:r>
      <w:r w:rsidRPr="000B1265">
        <w:rPr>
          <w:sz w:val="20"/>
          <w:szCs w:val="20"/>
        </w:rPr>
        <w:t xml:space="preserve">Conforme Resolução em vigor será concedido o desconto de tarifa no segmento de (kWh), para o consumo registrado no intervalo noturno contínuo de oito horas e trinta minutos entre </w:t>
      </w:r>
      <w:r w:rsidRPr="000B1265">
        <w:rPr>
          <w:b/>
          <w:bCs/>
          <w:sz w:val="20"/>
          <w:szCs w:val="20"/>
        </w:rPr>
        <w:t xml:space="preserve">_____:_____ às _____:_____. </w:t>
      </w:r>
    </w:p>
    <w:p w:rsidRPr="000B1265" w:rsidR="000B1265" w:rsidP="000B1265" w:rsidRDefault="000B1265" w14:paraId="48AE8A4A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48AE8A4B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3- </w:t>
      </w:r>
      <w:r w:rsidRPr="000B1265">
        <w:rPr>
          <w:sz w:val="20"/>
          <w:szCs w:val="20"/>
        </w:rPr>
        <w:t xml:space="preserve">Durante o período do horário brasileiro de verão, não há alteração do intervalo de desconto citado acima. Deverá ser considerado como referência o Horário Convencional. </w:t>
      </w:r>
    </w:p>
    <w:p w:rsidRPr="000B1265" w:rsidR="000B1265" w:rsidP="000B1265" w:rsidRDefault="000B1265" w14:paraId="48AE8A4C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48AE8A4D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4- </w:t>
      </w:r>
      <w:r w:rsidRPr="000B1265">
        <w:rPr>
          <w:sz w:val="20"/>
          <w:szCs w:val="20"/>
        </w:rPr>
        <w:t xml:space="preserve">Será permitido o acesso de colaboradores da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ou seus prepostos, devidamente credenciados, para inspecionar o cumprimento das condições estipuladas no presente Termo, em qualquer época do ano. </w:t>
      </w:r>
    </w:p>
    <w:p w:rsidRPr="000B1265" w:rsidR="000B1265" w:rsidP="000B1265" w:rsidRDefault="000B1265" w14:paraId="48AE8A4E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48AE8A4F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5- </w:t>
      </w:r>
      <w:r w:rsidRPr="000B1265">
        <w:rPr>
          <w:sz w:val="20"/>
          <w:szCs w:val="20"/>
        </w:rPr>
        <w:t xml:space="preserve">O consumidor deverá informar à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por escrito, qualquer alteração na carga (kW) instalada ou mudança de atividade nessa unidade consumidora, objeto deste Termo de Solicitação. </w:t>
      </w:r>
    </w:p>
    <w:p w:rsidRPr="000B1265" w:rsidR="000B1265" w:rsidP="000B1265" w:rsidRDefault="000B1265" w14:paraId="48AE8A50" w14:textId="77777777">
      <w:pPr>
        <w:pStyle w:val="Default"/>
        <w:jc w:val="both"/>
        <w:rPr>
          <w:sz w:val="20"/>
          <w:szCs w:val="20"/>
        </w:rPr>
      </w:pPr>
    </w:p>
    <w:p w:rsidR="001F0B33" w:rsidP="001F0B33" w:rsidRDefault="000B1265" w14:paraId="48AE8A51" w14:textId="77777777">
      <w:pPr>
        <w:jc w:val="center"/>
        <w:rPr>
          <w:b/>
          <w:bCs/>
          <w:sz w:val="28"/>
          <w:szCs w:val="28"/>
        </w:rPr>
      </w:pPr>
      <w:r w:rsidRPr="000B1265">
        <w:rPr>
          <w:rFonts w:ascii="Trebuchet MS" w:hAnsi="Trebuchet MS"/>
          <w:sz w:val="20"/>
          <w:szCs w:val="20"/>
        </w:rPr>
        <w:t xml:space="preserve">O consumidor declara, nesta oportunidade, estar ciente de que a concessão do desconto na tarifa para a </w:t>
      </w:r>
    </w:p>
    <w:p w:rsidR="000B1265" w:rsidP="000B1265" w:rsidRDefault="000B1265" w14:paraId="48AE8A52" w14:textId="73B96706">
      <w:pPr>
        <w:jc w:val="both"/>
        <w:rPr>
          <w:rFonts w:ascii="Trebuchet MS" w:hAnsi="Trebuchet MS"/>
          <w:sz w:val="20"/>
          <w:szCs w:val="20"/>
        </w:rPr>
      </w:pPr>
      <w:r w:rsidRPr="792323BD" w:rsidR="000B1265">
        <w:rPr>
          <w:rFonts w:ascii="Trebuchet MS" w:hAnsi="Trebuchet MS"/>
          <w:sz w:val="20"/>
          <w:szCs w:val="20"/>
        </w:rPr>
        <w:t>atividade de Irrigação ou Aquicultura é regulamentada pela Resoluç</w:t>
      </w:r>
      <w:r w:rsidRPr="792323BD" w:rsidR="7C59A89D">
        <w:rPr>
          <w:rFonts w:ascii="Trebuchet MS" w:hAnsi="Trebuchet MS"/>
          <w:sz w:val="20"/>
          <w:szCs w:val="20"/>
        </w:rPr>
        <w:t>ão nº 1.000</w:t>
      </w:r>
      <w:r w:rsidRPr="792323BD" w:rsidR="000B1265">
        <w:rPr>
          <w:rFonts w:ascii="Trebuchet MS" w:hAnsi="Trebuchet MS"/>
          <w:sz w:val="20"/>
          <w:szCs w:val="20"/>
        </w:rPr>
        <w:t xml:space="preserve"> da Agência Nacional de Energia Elétrica - ANEEL, da qual tem pleno conhecimento, bem como o estabelecimento de novas condições a serem aplicadas ao fornecimento de energia elétrica, através de legislações específicas, determinadas pela Agência Nacional de Energia Elétrica – ANEEL, terão aplicação imediata ao fornecimento de energia elétrica, independentemente de comunicação prévia ao consumidor.</w:t>
      </w:r>
    </w:p>
    <w:p w:rsidR="000B1265" w:rsidP="000B1265" w:rsidRDefault="000B1265" w14:paraId="48AE8A53" w14:textId="77777777">
      <w:pPr>
        <w:jc w:val="both"/>
        <w:rPr>
          <w:rFonts w:ascii="Trebuchet MS" w:hAnsi="Trebuchet MS"/>
          <w:sz w:val="20"/>
          <w:szCs w:val="20"/>
        </w:rPr>
      </w:pPr>
    </w:p>
    <w:p w:rsidRPr="000B1265" w:rsidR="000B1265" w:rsidP="000B1265" w:rsidRDefault="000B1265" w14:paraId="48AE8A54" w14:textId="77777777">
      <w:pPr>
        <w:pStyle w:val="Default"/>
        <w:jc w:val="center"/>
        <w:rPr>
          <w:sz w:val="18"/>
          <w:szCs w:val="16"/>
        </w:rPr>
      </w:pPr>
      <w:r w:rsidRPr="000B1265">
        <w:rPr>
          <w:sz w:val="18"/>
          <w:szCs w:val="16"/>
        </w:rPr>
        <w:t>___________________________, ________ de ___________________________de________.</w:t>
      </w:r>
    </w:p>
    <w:p w:rsidR="000B1265" w:rsidP="000B1265" w:rsidRDefault="000B1265" w14:paraId="48AE8A55" w14:textId="77777777">
      <w:pPr>
        <w:pStyle w:val="Default"/>
        <w:jc w:val="center"/>
        <w:rPr>
          <w:sz w:val="16"/>
          <w:szCs w:val="16"/>
        </w:rPr>
      </w:pPr>
    </w:p>
    <w:p w:rsidR="000B1265" w:rsidP="000B1265" w:rsidRDefault="000B1265" w14:paraId="48AE8A56" w14:textId="77777777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Pr="000B1265" w:rsidR="000B1265" w:rsidP="000B1265" w:rsidRDefault="000B1265" w14:paraId="48AE8A57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______________________________________________________</w:t>
      </w:r>
    </w:p>
    <w:p w:rsidRPr="000B1265" w:rsidR="000B1265" w:rsidP="000B1265" w:rsidRDefault="000B1265" w14:paraId="48AE8A58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Assinatura do cliente conforme documento de identificação</w:t>
      </w:r>
    </w:p>
    <w:p w:rsidR="000B1265" w:rsidP="000B1265" w:rsidRDefault="000B1265" w14:paraId="48AE8A59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48AE8A5A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48AE8A5B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48AE8A5C" w14:textId="77777777">
      <w:pPr>
        <w:spacing w:after="0" w:line="240" w:lineRule="auto"/>
        <w:jc w:val="center"/>
        <w:rPr>
          <w:sz w:val="16"/>
          <w:szCs w:val="16"/>
        </w:rPr>
      </w:pPr>
    </w:p>
    <w:p w:rsidRPr="000B1265" w:rsidR="000B1265" w:rsidP="000B1265" w:rsidRDefault="000B1265" w14:paraId="48AE8A5D" w14:textId="77777777">
      <w:pPr>
        <w:spacing w:after="0" w:line="240" w:lineRule="auto"/>
        <w:rPr>
          <w:rFonts w:ascii="Trebuchet MS" w:hAnsi="Trebuchet MS"/>
          <w:i/>
          <w:sz w:val="16"/>
          <w:szCs w:val="20"/>
        </w:rPr>
      </w:pPr>
      <w:r w:rsidRPr="000B1265">
        <w:rPr>
          <w:i/>
          <w:sz w:val="18"/>
        </w:rPr>
        <w:t>A assinatura desse termo elimina documentos anteriores referentes ao mesmo assunto.</w:t>
      </w:r>
    </w:p>
    <w:sectPr w:rsidRPr="000B1265" w:rsidR="000B1265" w:rsidSect="000B1265">
      <w:pgSz w:w="11906" w:h="16838" w:orient="portrait"/>
      <w:pgMar w:top="567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lang="pt-BR" w:vendorID="64" w:dllVersion="0" w:nlCheck="1" w:checkStyle="0" w:appName="MSWord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65"/>
    <w:rsid w:val="000B1265"/>
    <w:rsid w:val="001153F7"/>
    <w:rsid w:val="001A1521"/>
    <w:rsid w:val="001B148A"/>
    <w:rsid w:val="001F0B33"/>
    <w:rsid w:val="00387423"/>
    <w:rsid w:val="004D4A7D"/>
    <w:rsid w:val="006E1FDE"/>
    <w:rsid w:val="0081548A"/>
    <w:rsid w:val="009263F7"/>
    <w:rsid w:val="009B505D"/>
    <w:rsid w:val="00A21CB5"/>
    <w:rsid w:val="177AE834"/>
    <w:rsid w:val="25648335"/>
    <w:rsid w:val="2FEE5211"/>
    <w:rsid w:val="4669E7C6"/>
    <w:rsid w:val="792323BD"/>
    <w:rsid w:val="7C59A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8A2E"/>
  <w15:docId w15:val="{B4852F4F-BE86-478F-9C4D-D805F85E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0B12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962875DA20224291A406B4A7058AE9" ma:contentTypeVersion="16" ma:contentTypeDescription="Criar um novo documento." ma:contentTypeScope="" ma:versionID="233f647c52210086c4018a7fc42a062f">
  <xsd:schema xmlns:xsd="http://www.w3.org/2001/XMLSchema" xmlns:xs="http://www.w3.org/2001/XMLSchema" xmlns:p="http://schemas.microsoft.com/office/2006/metadata/properties" xmlns:ns2="ddc86aba-9dc1-4988-af42-931a35f27596" xmlns:ns3="8c76aea0-1c1b-4dd6-8598-495cd114ece0" targetNamespace="http://schemas.microsoft.com/office/2006/metadata/properties" ma:root="true" ma:fieldsID="df80bdbf44ac58f13f361dd6b7c26731" ns2:_="" ns3:_="">
    <xsd:import namespace="ddc86aba-9dc1-4988-af42-931a35f27596"/>
    <xsd:import namespace="8c76aea0-1c1b-4dd6-8598-495cd114e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6aba-9dc1-4988-af42-931a35f27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39c4b66d-fcb2-4727-8ac1-aa661c0d9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aea0-1c1b-4dd6-8598-495cd114e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ee7a06-68ad-47a0-ad28-b9970bc589fe}" ma:internalName="TaxCatchAll" ma:showField="CatchAllData" ma:web="8c76aea0-1c1b-4dd6-8598-495cd114e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Palavras-chave Empresariais" ma:fieldId="{23f27201-bee3-471e-b2e7-b64fd8b7ca38}" ma:taxonomyMulti="true" ma:sspId="39c4b66d-fcb2-4727-8ac1-aa661c0d971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6aea0-1c1b-4dd6-8598-495cd114ece0" xsi:nil="true"/>
    <lcf76f155ced4ddcb4097134ff3c332f xmlns="ddc86aba-9dc1-4988-af42-931a35f27596">
      <Terms xmlns="http://schemas.microsoft.com/office/infopath/2007/PartnerControls"/>
    </lcf76f155ced4ddcb4097134ff3c332f>
    <TaxKeywordTaxHTField xmlns="8c76aea0-1c1b-4dd6-8598-495cd114ece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3E19944-3366-4E5E-B00F-A05980A53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87D7E-8445-4C1A-ACED-4C2B2C7B7E4C}"/>
</file>

<file path=customXml/itemProps3.xml><?xml version="1.0" encoding="utf-8"?>
<ds:datastoreItem xmlns:ds="http://schemas.openxmlformats.org/officeDocument/2006/customXml" ds:itemID="{C577C15A-DDD8-4D6A-859C-71E7D64A84DB}"/>
</file>

<file path=customXml/itemProps4.xml><?xml version="1.0" encoding="utf-8"?>
<ds:datastoreItem xmlns:ds="http://schemas.openxmlformats.org/officeDocument/2006/customXml" ds:itemID="{CE1586F0-1CEF-4130-B5BB-020EC9316B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Aragao Dantas Urquiza Wanderley</dc:creator>
  <cp:lastModifiedBy>Joana D Arc Pinheiro de Sousa</cp:lastModifiedBy>
  <cp:revision>13</cp:revision>
  <dcterms:created xsi:type="dcterms:W3CDTF">2019-01-04T10:53:00Z</dcterms:created>
  <dcterms:modified xsi:type="dcterms:W3CDTF">2023-06-21T13:21:17Z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0x0101005A962875DA20224291A406B4A7058AE9</vt:lpwstr>
  </property>
  <property fmtid="{D5CDD505-2E9C-101B-9397-08002B2CF9AE}" pid="3" name="MediaServiceImageTags">
    <vt:lpwstr/>
  </property>
</Properties>
</file>